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9118" w:val="left" w:leader="none"/>
        </w:tabs>
      </w:pPr>
      <w:r>
        <w:rPr>
          <w:color w:val="00529E"/>
        </w:rPr>
        <w:t>Physical</w:t>
      </w:r>
      <w:r>
        <w:rPr>
          <w:color w:val="00529E"/>
          <w:spacing w:val="-9"/>
        </w:rPr>
        <w:t> </w:t>
      </w:r>
      <w:r>
        <w:rPr>
          <w:color w:val="00529E"/>
        </w:rPr>
        <w:t>Disabilities</w:t>
      </w:r>
      <w:r>
        <w:rPr>
          <w:color w:val="00529E"/>
          <w:spacing w:val="-7"/>
        </w:rPr>
        <w:t> </w:t>
      </w:r>
      <w:r>
        <w:rPr>
          <w:color w:val="00529E"/>
        </w:rPr>
        <w:t>&amp;</w:t>
      </w:r>
      <w:r>
        <w:rPr>
          <w:color w:val="00529E"/>
          <w:spacing w:val="-5"/>
        </w:rPr>
        <w:t> </w:t>
      </w:r>
      <w:r>
        <w:rPr>
          <w:color w:val="00529E"/>
        </w:rPr>
        <w:t>Chronic</w:t>
      </w:r>
      <w:r>
        <w:rPr>
          <w:color w:val="00529E"/>
          <w:spacing w:val="-7"/>
        </w:rPr>
        <w:t> </w:t>
      </w:r>
      <w:r>
        <w:rPr>
          <w:color w:val="00529E"/>
        </w:rPr>
        <w:t>Health</w:t>
      </w:r>
      <w:r>
        <w:rPr>
          <w:color w:val="00529E"/>
          <w:spacing w:val="-4"/>
        </w:rPr>
        <w:t> </w:t>
      </w:r>
      <w:r>
        <w:rPr>
          <w:color w:val="00529E"/>
          <w:spacing w:val="-2"/>
        </w:rPr>
        <w:t>Conditions</w:t>
      </w:r>
      <w:r>
        <w:rPr>
          <w:color w:val="00529E"/>
        </w:rPr>
        <w:tab/>
      </w:r>
      <w:r>
        <w:rPr>
          <w:color w:val="00529E"/>
          <w:position w:val="-22"/>
        </w:rPr>
        <w:drawing>
          <wp:inline distT="0" distB="0" distL="0" distR="0">
            <wp:extent cx="1081288" cy="45438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88" cy="45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529E"/>
          <w:position w:val="-22"/>
        </w:rPr>
      </w:r>
    </w:p>
    <w:p>
      <w:pPr>
        <w:pStyle w:val="Heading1"/>
        <w:spacing w:before="81"/>
      </w:pPr>
      <w:r>
        <w:rPr/>
        <w:t>Documentation</w:t>
      </w:r>
      <w:r>
        <w:rPr>
          <w:spacing w:val="-18"/>
        </w:rPr>
        <w:t> </w:t>
      </w:r>
      <w:r>
        <w:rPr/>
        <w:t>Guidelines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>
          <w:spacing w:val="-2"/>
        </w:rPr>
        <w:t>Evaluators</w:t>
      </w:r>
    </w:p>
    <w:p>
      <w:pPr>
        <w:pStyle w:val="BodyText"/>
        <w:spacing w:before="120"/>
        <w:ind w:left="100"/>
      </w:pPr>
      <w:r>
        <w:rPr/>
        <w:t>For</w:t>
      </w:r>
      <w:r>
        <w:rPr>
          <w:spacing w:val="-5"/>
        </w:rPr>
        <w:t> </w:t>
      </w:r>
      <w:r>
        <w:rPr/>
        <w:t>Pearson</w:t>
      </w:r>
      <w:r>
        <w:rPr>
          <w:spacing w:val="-2"/>
        </w:rPr>
        <w:t> </w:t>
      </w:r>
      <w:r>
        <w:rPr/>
        <w:t>VUE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Accommodations</w:t>
      </w:r>
      <w:r>
        <w:rPr>
          <w:spacing w:val="-2"/>
        </w:rPr>
        <w:t> </w:t>
      </w:r>
      <w:r>
        <w:rPr/>
        <w:t>(Reasonable</w:t>
      </w:r>
      <w:r>
        <w:rPr>
          <w:spacing w:val="-1"/>
        </w:rPr>
        <w:t> </w:t>
      </w:r>
      <w:r>
        <w:rPr>
          <w:spacing w:val="-2"/>
        </w:rPr>
        <w:t>Adjustments)</w:t>
      </w:r>
    </w:p>
    <w:p>
      <w:pPr>
        <w:pStyle w:val="Heading1"/>
      </w:pPr>
      <w:r>
        <w:rPr>
          <w:color w:val="00529E"/>
          <w:spacing w:val="-2"/>
        </w:rPr>
        <w:t>Introduction</w:t>
      </w:r>
    </w:p>
    <w:p>
      <w:pPr>
        <w:pStyle w:val="BodyText"/>
        <w:spacing w:before="119"/>
        <w:ind w:left="100"/>
      </w:pPr>
      <w:r>
        <w:rPr/>
        <w:t>Pearson VUE is committed to ensuring access to the test for all individuals with disabilities. Pearson VUE provides reasonable and appropriate accommodations to individuals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documented</w:t>
      </w:r>
      <w:r>
        <w:rPr>
          <w:spacing w:val="-5"/>
        </w:rPr>
        <w:t> </w:t>
      </w:r>
      <w:r>
        <w:rPr/>
        <w:t>disabilities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demonstrate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accommodations.</w:t>
      </w:r>
    </w:p>
    <w:p>
      <w:pPr>
        <w:pStyle w:val="Heading1"/>
      </w:pPr>
      <w:r>
        <w:rPr>
          <w:color w:val="00529E"/>
        </w:rPr>
        <w:t>Purpose</w:t>
      </w:r>
      <w:r>
        <w:rPr>
          <w:color w:val="00529E"/>
          <w:spacing w:val="-12"/>
        </w:rPr>
        <w:t> </w:t>
      </w:r>
      <w:r>
        <w:rPr>
          <w:color w:val="00529E"/>
        </w:rPr>
        <w:t>of</w:t>
      </w:r>
      <w:r>
        <w:rPr>
          <w:color w:val="00529E"/>
          <w:spacing w:val="-9"/>
        </w:rPr>
        <w:t> </w:t>
      </w:r>
      <w:r>
        <w:rPr>
          <w:color w:val="00529E"/>
          <w:spacing w:val="-2"/>
        </w:rPr>
        <w:t>Accommodations</w:t>
      </w:r>
    </w:p>
    <w:p>
      <w:pPr>
        <w:pStyle w:val="BodyText"/>
        <w:spacing w:before="119"/>
        <w:ind w:left="100" w:right="85"/>
      </w:pPr>
      <w:r>
        <w:rPr/>
        <w:t>Requests for test accommodations are considered on a case-by-case basis. No single type of accommodation (i.e., extra time) would necessarily be appropriate for all individuals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disabilities.</w:t>
      </w:r>
      <w:r>
        <w:rPr>
          <w:spacing w:val="-6"/>
        </w:rPr>
        <w:t> </w:t>
      </w:r>
      <w:r>
        <w:rPr/>
        <w:t>Simply</w:t>
      </w:r>
      <w:r>
        <w:rPr>
          <w:spacing w:val="-4"/>
        </w:rPr>
        <w:t> </w:t>
      </w:r>
      <w:r>
        <w:rPr/>
        <w:t>demonstrating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meets</w:t>
      </w:r>
      <w:r>
        <w:rPr>
          <w:spacing w:val="-5"/>
        </w:rPr>
        <w:t> </w:t>
      </w:r>
      <w:r>
        <w:rPr/>
        <w:t>diagnostic criteria for a disorder does not mean that the person needs accommodations.</w:t>
      </w:r>
    </w:p>
    <w:p>
      <w:pPr>
        <w:pStyle w:val="BodyText"/>
        <w:spacing w:before="120"/>
        <w:ind w:left="100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accommodations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candidates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take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 accessible manner. However, accommodations are not a guarantee of improved performance or test completion.</w:t>
      </w:r>
    </w:p>
    <w:p>
      <w:pPr>
        <w:pStyle w:val="Heading1"/>
      </w:pPr>
      <w:r>
        <w:rPr>
          <w:color w:val="00529E"/>
          <w:spacing w:val="-2"/>
        </w:rPr>
        <w:t>Detailed</w:t>
      </w:r>
      <w:r>
        <w:rPr>
          <w:color w:val="00529E"/>
          <w:spacing w:val="-7"/>
        </w:rPr>
        <w:t> </w:t>
      </w:r>
      <w:r>
        <w:rPr>
          <w:color w:val="00529E"/>
          <w:spacing w:val="-2"/>
        </w:rPr>
        <w:t>Documentation</w:t>
      </w:r>
      <w:r>
        <w:rPr>
          <w:color w:val="00529E"/>
          <w:spacing w:val="-6"/>
        </w:rPr>
        <w:t> </w:t>
      </w:r>
      <w:r>
        <w:rPr>
          <w:color w:val="00529E"/>
          <w:spacing w:val="-2"/>
        </w:rPr>
        <w:t>Requirements</w:t>
      </w:r>
    </w:p>
    <w:p>
      <w:pPr>
        <w:pStyle w:val="BodyText"/>
        <w:spacing w:before="119"/>
        <w:ind w:left="100"/>
      </w:pPr>
      <w:r>
        <w:rPr/>
        <w:t>Candidates who are requesting accommodations based on a diagnosis of a physical disability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chronic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provide a</w:t>
      </w:r>
      <w:r>
        <w:rPr>
          <w:spacing w:val="-4"/>
        </w:rPr>
        <w:t> </w:t>
      </w:r>
      <w:r>
        <w:rPr/>
        <w:t>report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a current, comprehensive medical evaluation.</w:t>
      </w:r>
    </w:p>
    <w:p>
      <w:pPr>
        <w:pStyle w:val="BodyText"/>
        <w:spacing w:before="120"/>
        <w:ind w:left="100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documentation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evaluator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last one (1) year* and provide: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3" w:lineRule="exact" w:before="121" w:after="0"/>
        <w:ind w:left="819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diagnosis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2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functional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limitation(s)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2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5"/>
          <w:sz w:val="24"/>
        </w:rPr>
        <w:t> </w:t>
      </w:r>
      <w:r>
        <w:rPr>
          <w:sz w:val="24"/>
        </w:rPr>
        <w:t>recommendation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accommodations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3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rationale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requested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accommodations</w:t>
      </w:r>
    </w:p>
    <w:p>
      <w:pPr>
        <w:spacing w:before="118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Specific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components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letter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generally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include: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119" w:after="0"/>
        <w:ind w:left="819" w:right="0" w:hanging="359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-3"/>
          <w:sz w:val="24"/>
        </w:rPr>
        <w:t> </w:t>
      </w:r>
      <w:r>
        <w:rPr>
          <w:sz w:val="24"/>
        </w:rPr>
        <w:t>information:</w:t>
      </w:r>
      <w:r>
        <w:rPr>
          <w:spacing w:val="-1"/>
          <w:sz w:val="24"/>
        </w:rPr>
        <w:t> </w:t>
      </w:r>
      <w:r>
        <w:rPr>
          <w:sz w:val="24"/>
        </w:rPr>
        <w:t>Examinee’s</w:t>
      </w:r>
      <w:r>
        <w:rPr>
          <w:spacing w:val="-2"/>
          <w:sz w:val="24"/>
        </w:rPr>
        <w:t> </w:t>
      </w:r>
      <w:r>
        <w:rPr>
          <w:sz w:val="24"/>
        </w:rPr>
        <w:t>name,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birth,</w:t>
      </w:r>
      <w:r>
        <w:rPr>
          <w:spacing w:val="-1"/>
          <w:sz w:val="24"/>
        </w:rPr>
        <w:t> </w:t>
      </w:r>
      <w:r>
        <w:rPr>
          <w:sz w:val="24"/>
        </w:rPr>
        <w:t>testing</w:t>
      </w:r>
      <w:r>
        <w:rPr>
          <w:spacing w:val="-2"/>
          <w:sz w:val="24"/>
        </w:rPr>
        <w:t> </w:t>
      </w:r>
      <w:r>
        <w:rPr>
          <w:sz w:val="24"/>
        </w:rPr>
        <w:t>dates, </w:t>
      </w:r>
      <w:r>
        <w:rPr>
          <w:spacing w:val="-2"/>
          <w:sz w:val="24"/>
        </w:rPr>
        <w:t>evaluator’s</w:t>
      </w:r>
    </w:p>
    <w:p>
      <w:pPr>
        <w:pStyle w:val="BodyText"/>
        <w:ind w:left="820"/>
      </w:pPr>
      <w:r>
        <w:rPr/>
        <w:t>name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credentials.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20" w:after="0"/>
        <w:ind w:left="820" w:right="516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comprehensive</w:t>
      </w:r>
      <w:r>
        <w:rPr>
          <w:spacing w:val="-6"/>
          <w:sz w:val="24"/>
        </w:rPr>
        <w:t> </w:t>
      </w:r>
      <w:r>
        <w:rPr>
          <w:sz w:val="24"/>
        </w:rPr>
        <w:t>history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condition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example,</w:t>
      </w:r>
      <w:r>
        <w:rPr>
          <w:spacing w:val="-4"/>
          <w:sz w:val="24"/>
        </w:rPr>
        <w:t> </w:t>
      </w:r>
      <w:r>
        <w:rPr>
          <w:sz w:val="24"/>
        </w:rPr>
        <w:t>relevant</w:t>
      </w:r>
      <w:r>
        <w:rPr>
          <w:spacing w:val="-4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history, history of the impact of the condition, etc.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40" w:after="0"/>
        <w:ind w:left="820" w:right="290" w:hanging="360"/>
        <w:jc w:val="left"/>
        <w:rPr>
          <w:sz w:val="24"/>
        </w:rPr>
      </w:pPr>
      <w:r>
        <w:rPr>
          <w:sz w:val="24"/>
        </w:rPr>
        <w:t>Include a detailed discussion of the current treatments (e.g., medications) and their</w:t>
      </w:r>
      <w:r>
        <w:rPr>
          <w:spacing w:val="-4"/>
          <w:sz w:val="24"/>
        </w:rPr>
        <w:t> </w:t>
      </w:r>
      <w:r>
        <w:rPr>
          <w:sz w:val="24"/>
        </w:rPr>
        <w:t>effectiveness,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4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results,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4"/>
          <w:sz w:val="24"/>
        </w:rPr>
        <w:t> </w:t>
      </w:r>
      <w:r>
        <w:rPr>
          <w:sz w:val="24"/>
        </w:rPr>
        <w:t>impact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disorder</w:t>
      </w:r>
      <w:r>
        <w:rPr>
          <w:spacing w:val="-4"/>
          <w:sz w:val="24"/>
        </w:rPr>
        <w:t> </w:t>
      </w:r>
      <w:r>
        <w:rPr>
          <w:sz w:val="24"/>
        </w:rPr>
        <w:t>on academic performance, employment (if relevant), and other relevant activities.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240" w:after="0"/>
        <w:ind w:left="819" w:right="0" w:hanging="359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diagnosis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globally</w:t>
      </w:r>
      <w:r>
        <w:rPr>
          <w:spacing w:val="-3"/>
          <w:sz w:val="24"/>
        </w:rPr>
        <w:t> </w:t>
      </w:r>
      <w:r>
        <w:rPr>
          <w:sz w:val="24"/>
        </w:rPr>
        <w:t>recognized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  <w:r>
        <w:rPr>
          <w:spacing w:val="-3"/>
          <w:sz w:val="24"/>
        </w:rPr>
        <w:t> </w:t>
      </w:r>
      <w:r>
        <w:rPr>
          <w:sz w:val="24"/>
        </w:rPr>
        <w:t>(e.g.,</w:t>
      </w:r>
      <w:r>
        <w:rPr>
          <w:spacing w:val="-2"/>
          <w:sz w:val="24"/>
        </w:rPr>
        <w:t> </w:t>
      </w:r>
      <w:r>
        <w:rPr>
          <w:sz w:val="24"/>
        </w:rPr>
        <w:t>DSM,</w:t>
      </w:r>
      <w:r>
        <w:rPr>
          <w:spacing w:val="-2"/>
          <w:sz w:val="24"/>
        </w:rPr>
        <w:t> ICD).</w:t>
      </w:r>
    </w:p>
    <w:p>
      <w:pPr>
        <w:spacing w:before="5"/>
        <w:ind w:left="695" w:right="0" w:firstLine="0"/>
        <w:jc w:val="center"/>
        <w:rPr>
          <w:b/>
          <w:sz w:val="16"/>
        </w:rPr>
      </w:pPr>
      <w:r>
        <w:rPr>
          <w:b/>
          <w:w w:val="99"/>
          <w:sz w:val="16"/>
        </w:rPr>
        <w:t>1</w:t>
      </w:r>
    </w:p>
    <w:p>
      <w:pPr>
        <w:spacing w:before="106"/>
        <w:ind w:left="145" w:right="0" w:firstLine="0"/>
        <w:jc w:val="left"/>
        <w:rPr>
          <w:b/>
          <w:sz w:val="16"/>
        </w:rPr>
      </w:pPr>
      <w:r>
        <w:rPr>
          <w:b/>
          <w:sz w:val="16"/>
        </w:rPr>
        <w:t>Physical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Disabilities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&amp;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Chronic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Health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Conditions</w:t>
      </w:r>
    </w:p>
    <w:p>
      <w:pPr>
        <w:spacing w:before="0"/>
        <w:ind w:left="145" w:right="0" w:firstLine="0"/>
        <w:jc w:val="left"/>
        <w:rPr>
          <w:i/>
          <w:sz w:val="16"/>
        </w:rPr>
      </w:pPr>
      <w:r>
        <w:rPr>
          <w:i/>
          <w:sz w:val="16"/>
        </w:rPr>
        <w:t>Documentation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Guidelines</w:t>
      </w:r>
      <w:r>
        <w:rPr>
          <w:i/>
          <w:spacing w:val="-11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Evaluators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(Effective</w:t>
      </w:r>
      <w:r>
        <w:rPr>
          <w:i/>
          <w:spacing w:val="-10"/>
          <w:sz w:val="16"/>
        </w:rPr>
        <w:t> </w:t>
      </w:r>
      <w:r>
        <w:rPr>
          <w:i/>
          <w:spacing w:val="-2"/>
          <w:sz w:val="16"/>
        </w:rPr>
        <w:t>07/01/2024)</w:t>
      </w:r>
    </w:p>
    <w:p>
      <w:pPr>
        <w:spacing w:before="120"/>
        <w:ind w:left="144" w:right="0" w:firstLine="0"/>
        <w:jc w:val="left"/>
        <w:rPr>
          <w:sz w:val="12"/>
        </w:rPr>
      </w:pPr>
      <w:r>
        <w:rPr>
          <w:sz w:val="12"/>
        </w:rPr>
        <w:t>Copyright</w:t>
      </w:r>
      <w:r>
        <w:rPr>
          <w:spacing w:val="-3"/>
          <w:sz w:val="12"/>
        </w:rPr>
        <w:t> </w:t>
      </w:r>
      <w:r>
        <w:rPr>
          <w:sz w:val="12"/>
        </w:rPr>
        <w:t>©</w:t>
      </w:r>
      <w:r>
        <w:rPr>
          <w:spacing w:val="-3"/>
          <w:sz w:val="12"/>
        </w:rPr>
        <w:t> </w:t>
      </w:r>
      <w:r>
        <w:rPr>
          <w:sz w:val="12"/>
        </w:rPr>
        <w:t>2024</w:t>
      </w:r>
      <w:r>
        <w:rPr>
          <w:spacing w:val="-3"/>
          <w:sz w:val="12"/>
        </w:rPr>
        <w:t> </w:t>
      </w:r>
      <w:r>
        <w:rPr>
          <w:sz w:val="12"/>
        </w:rPr>
        <w:t>Pearson</w:t>
      </w:r>
      <w:r>
        <w:rPr>
          <w:spacing w:val="-2"/>
          <w:sz w:val="12"/>
        </w:rPr>
        <w:t> </w:t>
      </w:r>
      <w:r>
        <w:rPr>
          <w:sz w:val="12"/>
        </w:rPr>
        <w:t>Education,</w:t>
      </w:r>
      <w:r>
        <w:rPr>
          <w:spacing w:val="-3"/>
          <w:sz w:val="12"/>
        </w:rPr>
        <w:t> </w:t>
      </w:r>
      <w:r>
        <w:rPr>
          <w:sz w:val="12"/>
        </w:rPr>
        <w:t>Inc.</w:t>
      </w:r>
      <w:r>
        <w:rPr>
          <w:spacing w:val="-2"/>
          <w:sz w:val="12"/>
        </w:rPr>
        <w:t> </w:t>
      </w:r>
      <w:r>
        <w:rPr>
          <w:sz w:val="12"/>
        </w:rPr>
        <w:t>or</w:t>
      </w:r>
      <w:r>
        <w:rPr>
          <w:spacing w:val="-1"/>
          <w:sz w:val="12"/>
        </w:rPr>
        <w:t> </w:t>
      </w:r>
      <w:r>
        <w:rPr>
          <w:sz w:val="12"/>
        </w:rPr>
        <w:t>its</w:t>
      </w:r>
      <w:r>
        <w:rPr>
          <w:spacing w:val="-1"/>
          <w:sz w:val="12"/>
        </w:rPr>
        <w:t> </w:t>
      </w:r>
      <w:r>
        <w:rPr>
          <w:sz w:val="12"/>
        </w:rPr>
        <w:t>affiliates.</w:t>
      </w:r>
      <w:r>
        <w:rPr>
          <w:spacing w:val="-2"/>
          <w:sz w:val="12"/>
        </w:rPr>
        <w:t> </w:t>
      </w:r>
      <w:r>
        <w:rPr>
          <w:sz w:val="12"/>
        </w:rPr>
        <w:t>All</w:t>
      </w:r>
      <w:r>
        <w:rPr>
          <w:spacing w:val="-3"/>
          <w:sz w:val="12"/>
        </w:rPr>
        <w:t> </w:t>
      </w:r>
      <w:r>
        <w:rPr>
          <w:sz w:val="12"/>
        </w:rPr>
        <w:t>Rights </w:t>
      </w:r>
      <w:r>
        <w:rPr>
          <w:spacing w:val="-2"/>
          <w:sz w:val="12"/>
        </w:rPr>
        <w:t>Reserved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320" w:bottom="280" w:left="620" w:right="640"/>
        </w:sectPr>
      </w:pP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71" w:after="0"/>
        <w:ind w:left="818" w:right="0" w:hanging="358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and prognosis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condition.</w:t>
      </w:r>
    </w:p>
    <w:p>
      <w:pPr>
        <w:pStyle w:val="Heading1"/>
      </w:pPr>
      <w:r>
        <w:rPr>
          <w:color w:val="00529E"/>
          <w:spacing w:val="-2"/>
        </w:rPr>
        <w:t>*Notes: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  <w:tab w:pos="820" w:val="left" w:leader="none"/>
        </w:tabs>
        <w:spacing w:line="240" w:lineRule="auto" w:before="120" w:after="0"/>
        <w:ind w:left="820" w:right="284" w:hanging="360"/>
        <w:jc w:val="left"/>
        <w:rPr>
          <w:sz w:val="24"/>
        </w:rPr>
      </w:pPr>
      <w:r>
        <w:rPr>
          <w:sz w:val="24"/>
        </w:rPr>
        <w:t>A qualified professional should evaluate the person who is requesting accommodations.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general,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deemed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qualified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assess</w:t>
      </w:r>
      <w:r>
        <w:rPr>
          <w:spacing w:val="-4"/>
          <w:sz w:val="24"/>
        </w:rPr>
        <w:t> </w:t>
      </w:r>
      <w:r>
        <w:rPr>
          <w:sz w:val="24"/>
        </w:rPr>
        <w:t>for a physical or health-related disability if they have had extensive graduate-level training in the area of medical assessment of adults and is appropriately credentialed. Formal assessment by family members, even if otherwise qualified, will not be accepted.</w:t>
      </w:r>
    </w:p>
    <w:p>
      <w:pPr>
        <w:pStyle w:val="ListParagraph"/>
        <w:numPr>
          <w:ilvl w:val="0"/>
          <w:numId w:val="3"/>
        </w:numPr>
        <w:tabs>
          <w:tab w:pos="818" w:val="left" w:leader="none"/>
          <w:tab w:pos="820" w:val="left" w:leader="none"/>
        </w:tabs>
        <w:spacing w:line="240" w:lineRule="auto" w:before="120" w:after="0"/>
        <w:ind w:left="820" w:right="439" w:hanging="360"/>
        <w:jc w:val="left"/>
        <w:rPr>
          <w:sz w:val="24"/>
        </w:rPr>
      </w:pPr>
      <w:r>
        <w:rPr>
          <w:sz w:val="24"/>
        </w:rPr>
        <w:t>Currency: Because reasonable accommodations is based on assessment of the current impact and current functional limitations caused by the applicant’s disability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documentation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older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(1)</w:t>
      </w:r>
      <w:r>
        <w:rPr>
          <w:spacing w:val="-4"/>
          <w:sz w:val="24"/>
        </w:rPr>
        <w:t> </w:t>
      </w:r>
      <w:r>
        <w:rPr>
          <w:sz w:val="24"/>
        </w:rPr>
        <w:t>year. The</w:t>
      </w:r>
    </w:p>
    <w:p>
      <w:pPr>
        <w:pStyle w:val="BodyText"/>
        <w:spacing w:line="291" w:lineRule="exact"/>
        <w:ind w:left="820"/>
      </w:pPr>
      <w:r>
        <w:rPr/>
        <w:t>exceptions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permanent</w:t>
      </w:r>
      <w:r>
        <w:rPr>
          <w:spacing w:val="-3"/>
        </w:rPr>
        <w:t> </w:t>
      </w:r>
      <w:r>
        <w:rPr/>
        <w:t>disabilities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case-by-case</w:t>
      </w:r>
      <w:r>
        <w:rPr>
          <w:spacing w:val="-3"/>
        </w:rPr>
        <w:t> </w:t>
      </w:r>
      <w:r>
        <w:rPr>
          <w:spacing w:val="-2"/>
        </w:rPr>
        <w:t>basis.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tabs>
          <w:tab w:pos="5894" w:val="right" w:leader="none"/>
        </w:tabs>
        <w:spacing w:before="101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Physical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Disabilities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&amp;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Chronic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Health </w:t>
      </w:r>
      <w:r>
        <w:rPr>
          <w:b/>
          <w:spacing w:val="-2"/>
          <w:sz w:val="16"/>
        </w:rPr>
        <w:t>Conditions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2</w:t>
      </w:r>
    </w:p>
    <w:p>
      <w:pPr>
        <w:spacing w:before="0"/>
        <w:ind w:left="100" w:right="0" w:firstLine="0"/>
        <w:jc w:val="left"/>
        <w:rPr>
          <w:i/>
          <w:sz w:val="16"/>
        </w:rPr>
      </w:pPr>
      <w:r>
        <w:rPr>
          <w:i/>
          <w:sz w:val="16"/>
        </w:rPr>
        <w:t>Documentation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Guidelines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Evaluators (Effective</w:t>
      </w:r>
      <w:r>
        <w:rPr>
          <w:i/>
          <w:spacing w:val="-2"/>
          <w:sz w:val="16"/>
        </w:rPr>
        <w:t> 07/01/2024)</w:t>
      </w:r>
    </w:p>
    <w:p>
      <w:pPr>
        <w:spacing w:before="121"/>
        <w:ind w:left="100" w:right="0" w:firstLine="0"/>
        <w:jc w:val="left"/>
        <w:rPr>
          <w:sz w:val="12"/>
        </w:rPr>
      </w:pPr>
      <w:r>
        <w:rPr>
          <w:sz w:val="12"/>
        </w:rPr>
        <w:t>Copyright</w:t>
      </w:r>
      <w:r>
        <w:rPr>
          <w:spacing w:val="-3"/>
          <w:sz w:val="12"/>
        </w:rPr>
        <w:t> </w:t>
      </w:r>
      <w:r>
        <w:rPr>
          <w:sz w:val="12"/>
        </w:rPr>
        <w:t>©</w:t>
      </w:r>
      <w:r>
        <w:rPr>
          <w:spacing w:val="-3"/>
          <w:sz w:val="12"/>
        </w:rPr>
        <w:t> </w:t>
      </w:r>
      <w:r>
        <w:rPr>
          <w:sz w:val="12"/>
        </w:rPr>
        <w:t>2024</w:t>
      </w:r>
      <w:r>
        <w:rPr>
          <w:spacing w:val="-3"/>
          <w:sz w:val="12"/>
        </w:rPr>
        <w:t> </w:t>
      </w:r>
      <w:r>
        <w:rPr>
          <w:sz w:val="12"/>
        </w:rPr>
        <w:t>Pearson</w:t>
      </w:r>
      <w:r>
        <w:rPr>
          <w:spacing w:val="-2"/>
          <w:sz w:val="12"/>
        </w:rPr>
        <w:t> </w:t>
      </w:r>
      <w:r>
        <w:rPr>
          <w:sz w:val="12"/>
        </w:rPr>
        <w:t>Education,</w:t>
      </w:r>
      <w:r>
        <w:rPr>
          <w:spacing w:val="-3"/>
          <w:sz w:val="12"/>
        </w:rPr>
        <w:t> </w:t>
      </w:r>
      <w:r>
        <w:rPr>
          <w:sz w:val="12"/>
        </w:rPr>
        <w:t>Inc.</w:t>
      </w:r>
      <w:r>
        <w:rPr>
          <w:spacing w:val="-3"/>
          <w:sz w:val="12"/>
        </w:rPr>
        <w:t> </w:t>
      </w:r>
      <w:r>
        <w:rPr>
          <w:sz w:val="12"/>
        </w:rPr>
        <w:t>or</w:t>
      </w:r>
      <w:r>
        <w:rPr>
          <w:spacing w:val="-1"/>
          <w:sz w:val="12"/>
        </w:rPr>
        <w:t> </w:t>
      </w:r>
      <w:r>
        <w:rPr>
          <w:sz w:val="12"/>
        </w:rPr>
        <w:t>its</w:t>
      </w:r>
      <w:r>
        <w:rPr>
          <w:spacing w:val="-1"/>
          <w:sz w:val="12"/>
        </w:rPr>
        <w:t> </w:t>
      </w:r>
      <w:r>
        <w:rPr>
          <w:sz w:val="12"/>
        </w:rPr>
        <w:t>affiliates.</w:t>
      </w:r>
      <w:r>
        <w:rPr>
          <w:spacing w:val="-2"/>
          <w:sz w:val="12"/>
        </w:rPr>
        <w:t> </w:t>
      </w:r>
      <w:r>
        <w:rPr>
          <w:sz w:val="12"/>
        </w:rPr>
        <w:t>All</w:t>
      </w:r>
      <w:r>
        <w:rPr>
          <w:spacing w:val="-3"/>
          <w:sz w:val="12"/>
        </w:rPr>
        <w:t> </w:t>
      </w:r>
      <w:r>
        <w:rPr>
          <w:sz w:val="12"/>
        </w:rPr>
        <w:t>Rights </w:t>
      </w:r>
      <w:r>
        <w:rPr>
          <w:spacing w:val="-2"/>
          <w:sz w:val="12"/>
        </w:rPr>
        <w:t>Reserved</w:t>
      </w:r>
    </w:p>
    <w:sectPr>
      <w:pgSz w:w="12240" w:h="15840"/>
      <w:pgMar w:top="1180" w:bottom="280" w:left="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1"/>
      <w:ind w:left="100"/>
      <w:outlineLvl w:val="1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100"/>
    </w:pPr>
    <w:rPr>
      <w:rFonts w:ascii="Verdana" w:hAnsi="Verdana" w:eastAsia="Verdana" w:cs="Verdan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359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 Inc.</dc:creator>
  <dc:title>VUE Physical Evaluator</dc:title>
  <dcterms:created xsi:type="dcterms:W3CDTF">2024-06-27T18:02:16Z</dcterms:created>
  <dcterms:modified xsi:type="dcterms:W3CDTF">2024-06-27T18:02:16Z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for Microsoft 365</vt:lpwstr>
  </property>
</Properties>
</file>